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1414B" w14:textId="77777777" w:rsidR="00C02C71" w:rsidRDefault="00C02C71" w:rsidP="00C02C71">
      <w:pPr>
        <w:spacing w:after="0" w:line="480" w:lineRule="auto"/>
        <w:jc w:val="center"/>
        <w:rPr>
          <w:rFonts w:ascii="Times New Roman" w:hAnsi="Times New Roman" w:cs="Times New Roman"/>
          <w:sz w:val="24"/>
          <w:szCs w:val="24"/>
        </w:rPr>
      </w:pPr>
    </w:p>
    <w:p w14:paraId="450B49A0" w14:textId="77777777" w:rsidR="00C02C71" w:rsidRDefault="00C02C71" w:rsidP="00C02C71">
      <w:pPr>
        <w:spacing w:after="0" w:line="480" w:lineRule="auto"/>
        <w:jc w:val="center"/>
        <w:rPr>
          <w:rFonts w:ascii="Times New Roman" w:hAnsi="Times New Roman" w:cs="Times New Roman"/>
          <w:sz w:val="24"/>
          <w:szCs w:val="24"/>
        </w:rPr>
      </w:pPr>
    </w:p>
    <w:p w14:paraId="71B12CD6" w14:textId="77777777" w:rsidR="00C02C71" w:rsidRDefault="00C02C71" w:rsidP="00C02C71">
      <w:pPr>
        <w:spacing w:after="0" w:line="480" w:lineRule="auto"/>
        <w:jc w:val="center"/>
        <w:rPr>
          <w:rFonts w:ascii="Times New Roman" w:hAnsi="Times New Roman" w:cs="Times New Roman"/>
          <w:sz w:val="24"/>
          <w:szCs w:val="24"/>
        </w:rPr>
      </w:pPr>
    </w:p>
    <w:p w14:paraId="0F775CA2" w14:textId="77777777" w:rsidR="00C02C71" w:rsidRDefault="00C02C71" w:rsidP="00C02C71">
      <w:pPr>
        <w:spacing w:after="0" w:line="480" w:lineRule="auto"/>
        <w:jc w:val="center"/>
        <w:rPr>
          <w:rFonts w:ascii="Times New Roman" w:hAnsi="Times New Roman" w:cs="Times New Roman"/>
          <w:sz w:val="24"/>
          <w:szCs w:val="24"/>
        </w:rPr>
      </w:pPr>
    </w:p>
    <w:p w14:paraId="5AF72551" w14:textId="77777777" w:rsidR="00C02C71" w:rsidRDefault="00C02C71" w:rsidP="00C02C71">
      <w:pPr>
        <w:spacing w:after="0" w:line="480" w:lineRule="auto"/>
        <w:jc w:val="center"/>
        <w:rPr>
          <w:rFonts w:ascii="Times New Roman" w:hAnsi="Times New Roman" w:cs="Times New Roman"/>
          <w:sz w:val="24"/>
          <w:szCs w:val="24"/>
        </w:rPr>
      </w:pPr>
    </w:p>
    <w:p w14:paraId="294C1364" w14:textId="77777777" w:rsidR="00C02C71" w:rsidRDefault="00C02C71" w:rsidP="00C02C71">
      <w:pPr>
        <w:spacing w:after="0" w:line="480" w:lineRule="auto"/>
        <w:jc w:val="center"/>
        <w:rPr>
          <w:rFonts w:ascii="Times New Roman" w:hAnsi="Times New Roman" w:cs="Times New Roman"/>
          <w:sz w:val="24"/>
          <w:szCs w:val="24"/>
        </w:rPr>
      </w:pPr>
    </w:p>
    <w:p w14:paraId="557D1CEB" w14:textId="77777777" w:rsidR="00C02C71" w:rsidRDefault="00C02C71" w:rsidP="00C02C71">
      <w:pPr>
        <w:spacing w:after="0" w:line="480" w:lineRule="auto"/>
        <w:jc w:val="center"/>
        <w:rPr>
          <w:rFonts w:ascii="Times New Roman" w:hAnsi="Times New Roman" w:cs="Times New Roman"/>
          <w:sz w:val="24"/>
          <w:szCs w:val="24"/>
        </w:rPr>
      </w:pPr>
    </w:p>
    <w:p w14:paraId="0125B934" w14:textId="77777777" w:rsidR="00C02C71" w:rsidRDefault="00C02C71" w:rsidP="00C02C71">
      <w:pPr>
        <w:spacing w:after="0" w:line="480" w:lineRule="auto"/>
        <w:jc w:val="center"/>
        <w:rPr>
          <w:rFonts w:ascii="Times New Roman" w:hAnsi="Times New Roman" w:cs="Times New Roman"/>
          <w:sz w:val="24"/>
          <w:szCs w:val="24"/>
        </w:rPr>
      </w:pPr>
    </w:p>
    <w:p w14:paraId="444E64FE" w14:textId="77777777" w:rsidR="00C02C71" w:rsidRDefault="00C02C71" w:rsidP="00C02C71">
      <w:pPr>
        <w:spacing w:after="0" w:line="480" w:lineRule="auto"/>
        <w:jc w:val="center"/>
        <w:rPr>
          <w:rFonts w:ascii="Times New Roman" w:hAnsi="Times New Roman" w:cs="Times New Roman"/>
          <w:sz w:val="24"/>
          <w:szCs w:val="24"/>
        </w:rPr>
      </w:pPr>
    </w:p>
    <w:p w14:paraId="63A8192C" w14:textId="1F3EB910" w:rsidR="00C21BFF" w:rsidRPr="00C02C71" w:rsidRDefault="00080FFB" w:rsidP="00C02C71">
      <w:pPr>
        <w:spacing w:after="0" w:line="480" w:lineRule="auto"/>
        <w:jc w:val="center"/>
        <w:rPr>
          <w:rFonts w:ascii="Times New Roman" w:hAnsi="Times New Roman" w:cs="Times New Roman"/>
          <w:sz w:val="24"/>
          <w:szCs w:val="24"/>
        </w:rPr>
      </w:pPr>
      <w:r w:rsidRPr="00C02C71">
        <w:rPr>
          <w:rFonts w:ascii="Times New Roman" w:hAnsi="Times New Roman" w:cs="Times New Roman"/>
          <w:sz w:val="24"/>
          <w:szCs w:val="24"/>
        </w:rPr>
        <w:t>Embedding Indigenous Perspectives</w:t>
      </w:r>
    </w:p>
    <w:p w14:paraId="4900D5EC" w14:textId="746C0F25" w:rsidR="00C02C71" w:rsidRPr="00C02C71" w:rsidRDefault="00C02C71" w:rsidP="00C02C71">
      <w:pPr>
        <w:spacing w:after="0" w:line="480" w:lineRule="auto"/>
        <w:jc w:val="center"/>
        <w:rPr>
          <w:rFonts w:ascii="Times New Roman" w:hAnsi="Times New Roman" w:cs="Times New Roman"/>
          <w:sz w:val="24"/>
          <w:szCs w:val="24"/>
        </w:rPr>
      </w:pPr>
      <w:r w:rsidRPr="00C02C71">
        <w:rPr>
          <w:rFonts w:ascii="Times New Roman" w:hAnsi="Times New Roman" w:cs="Times New Roman"/>
          <w:sz w:val="24"/>
          <w:szCs w:val="24"/>
        </w:rPr>
        <w:t>Student’s Name:</w:t>
      </w:r>
    </w:p>
    <w:p w14:paraId="708DE77D" w14:textId="2E21C95D" w:rsidR="00C02C71" w:rsidRPr="00C02C71" w:rsidRDefault="00C02C71" w:rsidP="00C02C71">
      <w:pPr>
        <w:spacing w:after="0" w:line="480" w:lineRule="auto"/>
        <w:jc w:val="center"/>
        <w:rPr>
          <w:rFonts w:ascii="Times New Roman" w:hAnsi="Times New Roman" w:cs="Times New Roman"/>
          <w:sz w:val="24"/>
          <w:szCs w:val="24"/>
        </w:rPr>
      </w:pPr>
      <w:r w:rsidRPr="00C02C71">
        <w:rPr>
          <w:rFonts w:ascii="Times New Roman" w:hAnsi="Times New Roman" w:cs="Times New Roman"/>
          <w:sz w:val="24"/>
          <w:szCs w:val="24"/>
        </w:rPr>
        <w:t>Institutional Affiliation:</w:t>
      </w:r>
    </w:p>
    <w:p w14:paraId="60936C12" w14:textId="77777777" w:rsidR="00343003" w:rsidRPr="00C02C71" w:rsidRDefault="00343003" w:rsidP="00C02C71">
      <w:pPr>
        <w:spacing w:after="0" w:line="480" w:lineRule="auto"/>
        <w:jc w:val="both"/>
        <w:rPr>
          <w:rFonts w:ascii="Times New Roman" w:hAnsi="Times New Roman" w:cs="Times New Roman"/>
          <w:sz w:val="24"/>
          <w:szCs w:val="24"/>
        </w:rPr>
      </w:pPr>
    </w:p>
    <w:p w14:paraId="229FC5F5" w14:textId="77777777" w:rsidR="00343003" w:rsidRPr="00C02C71" w:rsidRDefault="00343003" w:rsidP="00C02C71">
      <w:pPr>
        <w:spacing w:after="0" w:line="480" w:lineRule="auto"/>
        <w:jc w:val="both"/>
        <w:rPr>
          <w:rFonts w:ascii="Times New Roman" w:hAnsi="Times New Roman" w:cs="Times New Roman"/>
          <w:sz w:val="24"/>
          <w:szCs w:val="24"/>
        </w:rPr>
      </w:pPr>
    </w:p>
    <w:p w14:paraId="29633809" w14:textId="77777777" w:rsidR="00C02C71" w:rsidRDefault="00C02C71">
      <w:pPr>
        <w:rPr>
          <w:rFonts w:ascii="Times New Roman" w:hAnsi="Times New Roman" w:cs="Times New Roman"/>
          <w:sz w:val="24"/>
          <w:szCs w:val="24"/>
        </w:rPr>
      </w:pPr>
      <w:r>
        <w:rPr>
          <w:rFonts w:ascii="Times New Roman" w:hAnsi="Times New Roman" w:cs="Times New Roman"/>
          <w:sz w:val="24"/>
          <w:szCs w:val="24"/>
        </w:rPr>
        <w:br w:type="page"/>
      </w:r>
    </w:p>
    <w:p w14:paraId="2806F126" w14:textId="77777777" w:rsidR="00E95A34" w:rsidRPr="00C02C71" w:rsidRDefault="00E95A34" w:rsidP="00E95A34">
      <w:pPr>
        <w:spacing w:after="0" w:line="480" w:lineRule="auto"/>
        <w:jc w:val="center"/>
        <w:rPr>
          <w:rFonts w:ascii="Times New Roman" w:hAnsi="Times New Roman" w:cs="Times New Roman"/>
          <w:sz w:val="24"/>
          <w:szCs w:val="24"/>
        </w:rPr>
      </w:pPr>
      <w:r w:rsidRPr="00C02C71">
        <w:rPr>
          <w:rFonts w:ascii="Times New Roman" w:hAnsi="Times New Roman" w:cs="Times New Roman"/>
          <w:sz w:val="24"/>
          <w:szCs w:val="24"/>
        </w:rPr>
        <w:lastRenderedPageBreak/>
        <w:t>Embedding Indigenous Perspectives</w:t>
      </w:r>
    </w:p>
    <w:p w14:paraId="14EDF427" w14:textId="0E8542E0" w:rsidR="00343003" w:rsidRPr="00C02C71" w:rsidRDefault="00080FFB" w:rsidP="00C02C71">
      <w:pPr>
        <w:spacing w:after="0" w:line="480" w:lineRule="auto"/>
        <w:jc w:val="both"/>
        <w:rPr>
          <w:rFonts w:ascii="Times New Roman" w:hAnsi="Times New Roman" w:cs="Times New Roman"/>
          <w:sz w:val="24"/>
          <w:szCs w:val="24"/>
        </w:rPr>
      </w:pPr>
      <w:bookmarkStart w:id="0" w:name="_GoBack"/>
      <w:bookmarkEnd w:id="0"/>
      <w:r w:rsidRPr="00C02C71">
        <w:rPr>
          <w:rFonts w:ascii="Times New Roman" w:hAnsi="Times New Roman" w:cs="Times New Roman"/>
          <w:sz w:val="24"/>
          <w:szCs w:val="24"/>
        </w:rPr>
        <w:t>Appanna, S. (2011). Embedding Indigenous Perspectives in Teaching School Science. The Australian Journal Of Indigenous Education, 40, 18-22. doi: 10.1375/ajie.40.18</w:t>
      </w:r>
    </w:p>
    <w:p w14:paraId="1BFED124" w14:textId="3AB5587D" w:rsidR="00050C1E"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 xml:space="preserve">This scholarly peer-reviewed article discusses science teachers who are salvaging the capable students </w:t>
      </w:r>
      <w:r w:rsidR="0010255F">
        <w:rPr>
          <w:rFonts w:ascii="Times New Roman" w:hAnsi="Times New Roman" w:cs="Times New Roman"/>
          <w:sz w:val="24"/>
          <w:szCs w:val="24"/>
          <w:lang w:val="en-US"/>
        </w:rPr>
        <w:t>failing academically</w:t>
      </w:r>
      <w:r w:rsidRPr="00C02C71">
        <w:rPr>
          <w:rFonts w:ascii="Times New Roman" w:hAnsi="Times New Roman" w:cs="Times New Roman"/>
          <w:sz w:val="24"/>
          <w:szCs w:val="24"/>
        </w:rPr>
        <w:t xml:space="preserve"> due to minimal knowledge or incorporating the indigenous science education in the Australian system. The resource outlines the valid and useful strategies that should be adopted to enhance the engagement of the students in the learning school science. This resourceful is helpful as the teacher will acknowledge the significance the crossing borders in teaching the science culture to the student's lifestyle.</w:t>
      </w:r>
      <w:r w:rsidR="005B0A2F" w:rsidRPr="00C02C71">
        <w:rPr>
          <w:rFonts w:ascii="Times New Roman" w:hAnsi="Times New Roman" w:cs="Times New Roman"/>
          <w:sz w:val="24"/>
          <w:szCs w:val="24"/>
        </w:rPr>
        <w:t xml:space="preserve">  Besides, the teachers should be culturally responsive and been aware of the variations between western science as well as Indigenous knowledge. This resource can be used as a lens for indigenous relational worldview as local </w:t>
      </w:r>
      <w:r w:rsidR="0010255F" w:rsidRPr="00C02C71">
        <w:rPr>
          <w:rFonts w:ascii="Times New Roman" w:hAnsi="Times New Roman" w:cs="Times New Roman"/>
          <w:sz w:val="24"/>
          <w:szCs w:val="24"/>
        </w:rPr>
        <w:t>artefacts</w:t>
      </w:r>
      <w:r w:rsidR="005B0A2F" w:rsidRPr="00C02C71">
        <w:rPr>
          <w:rFonts w:ascii="Times New Roman" w:hAnsi="Times New Roman" w:cs="Times New Roman"/>
          <w:sz w:val="24"/>
          <w:szCs w:val="24"/>
        </w:rPr>
        <w:t xml:space="preserve">, as well as community variables, should be balanced and harmonious in making the science curriculum relevant. This resource is under the worldviews concept and the pedagogy ways expressed are constructing and deconstructing, community links and non-linear systems </w:t>
      </w:r>
    </w:p>
    <w:p w14:paraId="33F770B1" w14:textId="77777777" w:rsidR="00C02C71" w:rsidRPr="00C02C71" w:rsidRDefault="00C02C71" w:rsidP="00C02C71">
      <w:pPr>
        <w:spacing w:after="0" w:line="480" w:lineRule="auto"/>
        <w:ind w:firstLine="720"/>
        <w:jc w:val="both"/>
        <w:rPr>
          <w:rFonts w:ascii="Times New Roman" w:hAnsi="Times New Roman" w:cs="Times New Roman"/>
          <w:sz w:val="24"/>
          <w:szCs w:val="24"/>
        </w:rPr>
      </w:pPr>
    </w:p>
    <w:p w14:paraId="488DA585" w14:textId="7FB035AA" w:rsidR="00E90180"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t>Baynes, R. (2015). Teachers’ Attitudes to Including Indigenous Knowledges in the Australian Science Curriculum. The Australian Journal Of Indigenous Education, 45(1), 80-90. doi: 10.1017/jie.2015.29</w:t>
      </w:r>
    </w:p>
    <w:p w14:paraId="2607ABE7" w14:textId="48B9D9E7" w:rsidR="00E90180"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 xml:space="preserve">This article explores the attitudes and beliefs of the science </w:t>
      </w:r>
      <w:r w:rsidR="0010255F" w:rsidRPr="00C02C71">
        <w:rPr>
          <w:rFonts w:ascii="Times New Roman" w:hAnsi="Times New Roman" w:cs="Times New Roman"/>
          <w:sz w:val="24"/>
          <w:szCs w:val="24"/>
        </w:rPr>
        <w:t>tutors</w:t>
      </w:r>
      <w:r w:rsidRPr="00C02C71">
        <w:rPr>
          <w:rFonts w:ascii="Times New Roman" w:hAnsi="Times New Roman" w:cs="Times New Roman"/>
          <w:sz w:val="24"/>
          <w:szCs w:val="24"/>
        </w:rPr>
        <w:t xml:space="preserve"> to integrate indigenous knowledge as well as perspectives in classroom practices. This will be done through the participatory action research </w:t>
      </w:r>
      <w:r w:rsidR="000105BB" w:rsidRPr="00C02C71">
        <w:rPr>
          <w:rFonts w:ascii="Times New Roman" w:hAnsi="Times New Roman" w:cs="Times New Roman"/>
          <w:sz w:val="24"/>
          <w:szCs w:val="24"/>
        </w:rPr>
        <w:t>cycle,</w:t>
      </w:r>
      <w:r w:rsidRPr="00C02C71">
        <w:rPr>
          <w:rFonts w:ascii="Times New Roman" w:hAnsi="Times New Roman" w:cs="Times New Roman"/>
          <w:sz w:val="24"/>
          <w:szCs w:val="24"/>
        </w:rPr>
        <w:t xml:space="preserve"> contextualizing the teaches as well as conceptualizing the Cross-curriculum priority in terms of pedagogy, engagement of the students and social justices. This resource is vital as the PAR process will enable the</w:t>
      </w:r>
      <w:r w:rsidR="000105BB" w:rsidRPr="00C02C71">
        <w:rPr>
          <w:rFonts w:ascii="Times New Roman" w:hAnsi="Times New Roman" w:cs="Times New Roman"/>
          <w:sz w:val="24"/>
          <w:szCs w:val="24"/>
        </w:rPr>
        <w:t xml:space="preserve"> teachers to have developed personal and intellectual engagement before teaching the indigenous knowledge in the classes. </w:t>
      </w:r>
      <w:r w:rsidR="000105BB" w:rsidRPr="00C02C71">
        <w:rPr>
          <w:rFonts w:ascii="Times New Roman" w:hAnsi="Times New Roman" w:cs="Times New Roman"/>
          <w:sz w:val="24"/>
          <w:szCs w:val="24"/>
        </w:rPr>
        <w:lastRenderedPageBreak/>
        <w:t xml:space="preserve">This resource can be used for a relational worldview as it illustrates the collective thought process for a particular culture among the teachers. It can be used as relational as it relates the context, attitudes, varying perspectives and the people within the classroom. </w:t>
      </w:r>
      <w:r w:rsidR="00546152" w:rsidRPr="00C02C71">
        <w:rPr>
          <w:rFonts w:ascii="Times New Roman" w:hAnsi="Times New Roman" w:cs="Times New Roman"/>
          <w:sz w:val="24"/>
          <w:szCs w:val="24"/>
        </w:rPr>
        <w:t>This resource</w:t>
      </w:r>
      <w:r w:rsidR="000105BB" w:rsidRPr="00C02C71">
        <w:rPr>
          <w:rFonts w:ascii="Times New Roman" w:hAnsi="Times New Roman" w:cs="Times New Roman"/>
          <w:sz w:val="24"/>
          <w:szCs w:val="24"/>
        </w:rPr>
        <w:t xml:space="preserve"> lies under the subject of strategies and resources, sharing of essential resources and engaging of the indigenous students. The pedagogical ways expressed through </w:t>
      </w:r>
      <w:r w:rsidR="00546152" w:rsidRPr="00C02C71">
        <w:rPr>
          <w:rFonts w:ascii="Times New Roman" w:hAnsi="Times New Roman" w:cs="Times New Roman"/>
          <w:sz w:val="24"/>
          <w:szCs w:val="24"/>
        </w:rPr>
        <w:t>this resource</w:t>
      </w:r>
      <w:r w:rsidR="000105BB" w:rsidRPr="00C02C71">
        <w:rPr>
          <w:rFonts w:ascii="Times New Roman" w:hAnsi="Times New Roman" w:cs="Times New Roman"/>
          <w:sz w:val="24"/>
          <w:szCs w:val="24"/>
        </w:rPr>
        <w:t xml:space="preserve"> are non-linear</w:t>
      </w:r>
      <w:r w:rsidR="00546152" w:rsidRPr="00C02C71">
        <w:rPr>
          <w:rFonts w:ascii="Times New Roman" w:hAnsi="Times New Roman" w:cs="Times New Roman"/>
          <w:sz w:val="24"/>
          <w:szCs w:val="24"/>
        </w:rPr>
        <w:t>, where there is understanding through a combination of systems and approaches of learning via narrative.</w:t>
      </w:r>
      <w:r w:rsidR="00081848" w:rsidRPr="00C02C71">
        <w:rPr>
          <w:rFonts w:ascii="Times New Roman" w:hAnsi="Times New Roman" w:cs="Times New Roman"/>
          <w:sz w:val="24"/>
          <w:szCs w:val="24"/>
        </w:rPr>
        <w:t xml:space="preserve"> </w:t>
      </w:r>
    </w:p>
    <w:p w14:paraId="577AF615" w14:textId="77777777" w:rsidR="00C02C71" w:rsidRPr="00C02C71" w:rsidRDefault="00C02C71" w:rsidP="00C02C71">
      <w:pPr>
        <w:spacing w:after="0" w:line="480" w:lineRule="auto"/>
        <w:ind w:firstLine="720"/>
        <w:jc w:val="both"/>
        <w:rPr>
          <w:rFonts w:ascii="Times New Roman" w:hAnsi="Times New Roman" w:cs="Times New Roman"/>
          <w:sz w:val="24"/>
          <w:szCs w:val="24"/>
        </w:rPr>
      </w:pPr>
    </w:p>
    <w:p w14:paraId="3AED45A1" w14:textId="4B2699F5" w:rsidR="00546152"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t>Castell, E., Bullen, J., Garvey, D., &amp; Jones, N. (2018). Critical Reflexivity in Indigenous and Cross‐cultural Psychology: A Decolonial Approach to Curriculum?. American journal of community psychology, 62(3-4), 261-271.</w:t>
      </w:r>
    </w:p>
    <w:p w14:paraId="22ED33C8" w14:textId="629284A0" w:rsidR="00546152"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 xml:space="preserve">This resource article discusses the measures that should be employed by the governing institutions to </w:t>
      </w:r>
      <w:r w:rsidR="0010255F">
        <w:rPr>
          <w:rFonts w:ascii="Times New Roman" w:hAnsi="Times New Roman" w:cs="Times New Roman"/>
          <w:sz w:val="24"/>
          <w:szCs w:val="24"/>
          <w:lang w:val="en-US"/>
        </w:rPr>
        <w:t xml:space="preserve">guarantee that </w:t>
      </w:r>
      <w:r w:rsidRPr="00C02C71">
        <w:rPr>
          <w:rFonts w:ascii="Times New Roman" w:hAnsi="Times New Roman" w:cs="Times New Roman"/>
          <w:sz w:val="24"/>
          <w:szCs w:val="24"/>
        </w:rPr>
        <w:t xml:space="preserve">culture is promoted, safeguarded and the indigenous learner is capable of building their self-esteem in spite of the </w:t>
      </w:r>
      <w:r w:rsidR="0010255F" w:rsidRPr="00C02C71">
        <w:rPr>
          <w:rFonts w:ascii="Times New Roman" w:hAnsi="Times New Roman" w:cs="Times New Roman"/>
          <w:sz w:val="24"/>
          <w:szCs w:val="24"/>
        </w:rPr>
        <w:t>trivial</w:t>
      </w:r>
      <w:r w:rsidRPr="00C02C71">
        <w:rPr>
          <w:rFonts w:ascii="Times New Roman" w:hAnsi="Times New Roman" w:cs="Times New Roman"/>
          <w:sz w:val="24"/>
          <w:szCs w:val="24"/>
        </w:rPr>
        <w:t xml:space="preserve"> numbers. The amalgamation of culture and aboriginal history into the education systems will assure that varying cultures are respect and individuals will acknowledge and appreciate the variation. This resource is useful as groups will have better comprehension in their careers or professional expertise. This can be used as an indigenous relational worldview as</w:t>
      </w:r>
      <w:r w:rsidR="00B07AAB" w:rsidRPr="00C02C71">
        <w:rPr>
          <w:rFonts w:ascii="Times New Roman" w:hAnsi="Times New Roman" w:cs="Times New Roman"/>
          <w:sz w:val="24"/>
          <w:szCs w:val="24"/>
        </w:rPr>
        <w:t xml:space="preserve"> it is founded in tribal cultures. It is also intuitive and non-time oriented. The harmony, as well as balance in relations among numerous variables, results in the central thought system. This resource is under the subject of strategies and resources, where it is a decolonial </w:t>
      </w:r>
      <w:r w:rsidR="0010255F" w:rsidRPr="00C02C71">
        <w:rPr>
          <w:rFonts w:ascii="Times New Roman" w:hAnsi="Times New Roman" w:cs="Times New Roman"/>
          <w:sz w:val="24"/>
          <w:szCs w:val="24"/>
        </w:rPr>
        <w:t>tactic</w:t>
      </w:r>
      <w:r w:rsidR="00B07AAB" w:rsidRPr="00C02C71">
        <w:rPr>
          <w:rFonts w:ascii="Times New Roman" w:hAnsi="Times New Roman" w:cs="Times New Roman"/>
          <w:sz w:val="24"/>
          <w:szCs w:val="24"/>
        </w:rPr>
        <w:t xml:space="preserve"> to </w:t>
      </w:r>
      <w:r w:rsidR="0010255F" w:rsidRPr="00C02C71">
        <w:rPr>
          <w:rFonts w:ascii="Times New Roman" w:hAnsi="Times New Roman" w:cs="Times New Roman"/>
          <w:sz w:val="24"/>
          <w:szCs w:val="24"/>
        </w:rPr>
        <w:t>program</w:t>
      </w:r>
      <w:r w:rsidR="00B07AAB" w:rsidRPr="00C02C71">
        <w:rPr>
          <w:rFonts w:ascii="Times New Roman" w:hAnsi="Times New Roman" w:cs="Times New Roman"/>
          <w:sz w:val="24"/>
          <w:szCs w:val="24"/>
        </w:rPr>
        <w:t xml:space="preserve">. Some of the pedagogical ways addressed through the resource include the </w:t>
      </w:r>
      <w:r w:rsidR="00081848" w:rsidRPr="00C02C71">
        <w:rPr>
          <w:rFonts w:ascii="Times New Roman" w:hAnsi="Times New Roman" w:cs="Times New Roman"/>
          <w:sz w:val="24"/>
          <w:szCs w:val="24"/>
        </w:rPr>
        <w:t>learning maps, which entails picturing the pathways of knowledge and knowledge application for the benefit of the community members.</w:t>
      </w:r>
    </w:p>
    <w:p w14:paraId="52B20217" w14:textId="77777777" w:rsidR="00C02C71" w:rsidRPr="00C02C71" w:rsidRDefault="00C02C71" w:rsidP="00C02C71">
      <w:pPr>
        <w:spacing w:after="0" w:line="480" w:lineRule="auto"/>
        <w:ind w:firstLine="720"/>
        <w:jc w:val="both"/>
        <w:rPr>
          <w:rFonts w:ascii="Times New Roman" w:hAnsi="Times New Roman" w:cs="Times New Roman"/>
          <w:sz w:val="24"/>
          <w:szCs w:val="24"/>
        </w:rPr>
      </w:pPr>
    </w:p>
    <w:p w14:paraId="04ADF1F3" w14:textId="58185D67" w:rsidR="001E2BE5"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lastRenderedPageBreak/>
        <w:t>Dyment, J., Hill, A., &amp; Emery, S. (2015). Sustainability as a cross-curricular priority in the Australian curriculum: A Tasmanian investigation. Environmental Education Research, 21(8), 1105-1126.</w:t>
      </w:r>
    </w:p>
    <w:p w14:paraId="0D25F829" w14:textId="77AC5110" w:rsidR="001E2BE5"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This resource article discusses teaching cultural aspects, the aboriginals and Torres islander history, where students will be able to learn and have an understanding of the cultural knowledge regarding the Australia varying cultures even to the students are non-indigenous. This is an essential resource as the teaching the Indigenous individual's rich culture in school will assist in the identification of the strengths, promotes the culture and allow them to devise strategies of eliminating the weaknesses as the strong aspects of the cultures makes the non-indigenous student understand the history of their Australian culture. This can be used as a lens for indigenous relational worldview as it is based on the customs and the perception of life is seen as harmonious relations. The subject of these resources is histories and cultures and indigenous perspectives across the learning areas. The pedagogy ways expressed entail connections through story sharing, bringing new knowledge to assist the community, putting different ideas and creating new conception.</w:t>
      </w:r>
    </w:p>
    <w:p w14:paraId="28AEC155" w14:textId="77777777" w:rsidR="00C02C71" w:rsidRPr="00C02C71" w:rsidRDefault="00C02C71" w:rsidP="00C02C71">
      <w:pPr>
        <w:spacing w:after="0" w:line="480" w:lineRule="auto"/>
        <w:ind w:firstLine="720"/>
        <w:jc w:val="both"/>
        <w:rPr>
          <w:rFonts w:ascii="Times New Roman" w:hAnsi="Times New Roman" w:cs="Times New Roman"/>
          <w:sz w:val="24"/>
          <w:szCs w:val="24"/>
        </w:rPr>
      </w:pPr>
    </w:p>
    <w:p w14:paraId="2ECBD681" w14:textId="39C421D8" w:rsidR="00546152"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t>Hamilton, A., Jin, Y., &amp; Krieg, S. (2019). Early childhood art curriculum: a cross-culturalstudy. Journal of Curriculum Studies, 1-17.</w:t>
      </w:r>
    </w:p>
    <w:p w14:paraId="4D9D8FCE" w14:textId="341CE1A3" w:rsidR="008630BD" w:rsidRPr="00C02C71"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This scholarly article</w:t>
      </w:r>
      <w:r w:rsidR="00081848" w:rsidRPr="00C02C71">
        <w:rPr>
          <w:rFonts w:ascii="Times New Roman" w:hAnsi="Times New Roman" w:cs="Times New Roman"/>
          <w:sz w:val="24"/>
          <w:szCs w:val="24"/>
        </w:rPr>
        <w:t xml:space="preserve"> ponders on equipping the implemented teachers with the relevant and contextual skills and knowledge with regard to histor</w:t>
      </w:r>
      <w:r w:rsidR="0010255F">
        <w:rPr>
          <w:rFonts w:ascii="Times New Roman" w:hAnsi="Times New Roman" w:cs="Times New Roman"/>
          <w:sz w:val="24"/>
          <w:szCs w:val="24"/>
          <w:lang w:val="en-US"/>
        </w:rPr>
        <w:t>ical</w:t>
      </w:r>
      <w:r w:rsidR="00081848" w:rsidRPr="00C02C71">
        <w:rPr>
          <w:rFonts w:ascii="Times New Roman" w:hAnsi="Times New Roman" w:cs="Times New Roman"/>
          <w:sz w:val="24"/>
          <w:szCs w:val="24"/>
        </w:rPr>
        <w:t xml:space="preserve"> and cultural </w:t>
      </w:r>
      <w:r w:rsidR="0010255F" w:rsidRPr="00C02C71">
        <w:rPr>
          <w:rFonts w:ascii="Times New Roman" w:hAnsi="Times New Roman" w:cs="Times New Roman"/>
          <w:sz w:val="24"/>
          <w:szCs w:val="24"/>
        </w:rPr>
        <w:t>facets</w:t>
      </w:r>
      <w:r w:rsidR="00081848" w:rsidRPr="00C02C71">
        <w:rPr>
          <w:rFonts w:ascii="Times New Roman" w:hAnsi="Times New Roman" w:cs="Times New Roman"/>
          <w:sz w:val="24"/>
          <w:szCs w:val="24"/>
        </w:rPr>
        <w:t xml:space="preserve"> of the aboriginal and Torres Strait islander. This is essential as it will </w:t>
      </w:r>
      <w:r w:rsidR="0010255F" w:rsidRPr="00C02C71">
        <w:rPr>
          <w:rFonts w:ascii="Times New Roman" w:hAnsi="Times New Roman" w:cs="Times New Roman"/>
          <w:sz w:val="24"/>
          <w:szCs w:val="24"/>
        </w:rPr>
        <w:t>certify</w:t>
      </w:r>
      <w:r w:rsidR="00081848" w:rsidRPr="00C02C71">
        <w:rPr>
          <w:rFonts w:ascii="Times New Roman" w:hAnsi="Times New Roman" w:cs="Times New Roman"/>
          <w:sz w:val="24"/>
          <w:szCs w:val="24"/>
        </w:rPr>
        <w:t xml:space="preserve"> that the </w:t>
      </w:r>
      <w:r w:rsidR="0010255F" w:rsidRPr="00C02C71">
        <w:rPr>
          <w:rFonts w:ascii="Times New Roman" w:hAnsi="Times New Roman" w:cs="Times New Roman"/>
          <w:sz w:val="24"/>
          <w:szCs w:val="24"/>
        </w:rPr>
        <w:t>educators</w:t>
      </w:r>
      <w:r w:rsidR="00081848" w:rsidRPr="00C02C71">
        <w:rPr>
          <w:rFonts w:ascii="Times New Roman" w:hAnsi="Times New Roman" w:cs="Times New Roman"/>
          <w:sz w:val="24"/>
          <w:szCs w:val="24"/>
        </w:rPr>
        <w:t xml:space="preserve"> are well versed in the cultures </w:t>
      </w:r>
      <w:r w:rsidR="0010255F">
        <w:rPr>
          <w:rFonts w:ascii="Times New Roman" w:hAnsi="Times New Roman" w:cs="Times New Roman"/>
          <w:sz w:val="24"/>
          <w:szCs w:val="24"/>
          <w:lang w:val="en-US"/>
        </w:rPr>
        <w:t>to</w:t>
      </w:r>
      <w:r w:rsidR="00081848" w:rsidRPr="00C02C71">
        <w:rPr>
          <w:rFonts w:ascii="Times New Roman" w:hAnsi="Times New Roman" w:cs="Times New Roman"/>
          <w:sz w:val="24"/>
          <w:szCs w:val="24"/>
        </w:rPr>
        <w:t xml:space="preserve"> embed the learning concepts about the indigenous perspectives into all the students.</w:t>
      </w:r>
      <w:r w:rsidRPr="00C02C71">
        <w:rPr>
          <w:rFonts w:ascii="Times New Roman" w:hAnsi="Times New Roman" w:cs="Times New Roman"/>
          <w:sz w:val="24"/>
          <w:szCs w:val="24"/>
        </w:rPr>
        <w:t xml:space="preserve"> This encompasses two contextual curriculums based on imparting an understanding of the early childhood arts leading to social change.</w:t>
      </w:r>
      <w:r w:rsidR="00081848" w:rsidRPr="00C02C71">
        <w:rPr>
          <w:rFonts w:ascii="Times New Roman" w:hAnsi="Times New Roman" w:cs="Times New Roman"/>
          <w:sz w:val="24"/>
          <w:szCs w:val="24"/>
        </w:rPr>
        <w:t xml:space="preserve"> This will be a more natural and efficient approach to embedding the indigenous perspective in the learning environments.</w:t>
      </w:r>
      <w:r w:rsidRPr="00C02C71">
        <w:rPr>
          <w:rFonts w:ascii="Times New Roman" w:hAnsi="Times New Roman" w:cs="Times New Roman"/>
          <w:sz w:val="24"/>
          <w:szCs w:val="24"/>
        </w:rPr>
        <w:t xml:space="preserve"> </w:t>
      </w:r>
      <w:r w:rsidRPr="00C02C71">
        <w:rPr>
          <w:rFonts w:ascii="Times New Roman" w:hAnsi="Times New Roman" w:cs="Times New Roman"/>
          <w:sz w:val="24"/>
          <w:szCs w:val="24"/>
        </w:rPr>
        <w:lastRenderedPageBreak/>
        <w:t xml:space="preserve">The resource can be used as a lens for the indigenous relational worldview as it is rooted in the tribal cultures and balance of the relations among the different variables encompasses the thought system. The ideologies and concepts are organized into paradigms and constructs. This resource is under childhoods and identities, and the pedagogical ways represented are through story sharing, non-verbal and community links. </w:t>
      </w:r>
    </w:p>
    <w:p w14:paraId="2D95B824" w14:textId="63C6162A" w:rsidR="001E2BE5" w:rsidRPr="00C02C71" w:rsidRDefault="001E2BE5" w:rsidP="00C02C71">
      <w:pPr>
        <w:spacing w:after="0" w:line="480" w:lineRule="auto"/>
        <w:jc w:val="both"/>
        <w:rPr>
          <w:rFonts w:ascii="Times New Roman" w:hAnsi="Times New Roman" w:cs="Times New Roman"/>
          <w:sz w:val="24"/>
          <w:szCs w:val="24"/>
        </w:rPr>
      </w:pPr>
    </w:p>
    <w:p w14:paraId="414D4856" w14:textId="74635889" w:rsidR="001E2BE5"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t>Harvey, A., &amp; Russell-Mundine, G. (2018). Decolonising the curriculum: using graduate qualities to embed Indigenous knowledge at the academic, cultural interface. Teaching In Higher Education, 24(6), 789-808. doi: 10.1080/13562517.2018.1508131</w:t>
      </w:r>
    </w:p>
    <w:p w14:paraId="224879AE" w14:textId="345324C0" w:rsidR="00292E1E"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 xml:space="preserve">This resource article explores embedding the cultural competence of graduates in lifting the profile of the Indigenous perspectives of the aboriginal and Torres Strait Islander histories, experiences and cultures. This will assist in the decolonization of the tertiary education systems. Using the professional expertise of a university graduate is crucial as it helps in providing a locus for the work at the interface of cultures between Indigenous as well as non-indigenous cultural aspects. Besides, it will assist in combatting the epistemic injustices due to the domination of the western systems. These qualities can be embedded within the western systems in comprehension and livelihood. This resource can be used as a lens for </w:t>
      </w:r>
      <w:r w:rsidR="008E26F8" w:rsidRPr="00C02C71">
        <w:rPr>
          <w:rFonts w:ascii="Times New Roman" w:hAnsi="Times New Roman" w:cs="Times New Roman"/>
          <w:sz w:val="24"/>
          <w:szCs w:val="24"/>
        </w:rPr>
        <w:t>the Indigenous</w:t>
      </w:r>
      <w:r w:rsidRPr="00C02C71">
        <w:rPr>
          <w:rFonts w:ascii="Times New Roman" w:hAnsi="Times New Roman" w:cs="Times New Roman"/>
          <w:sz w:val="24"/>
          <w:szCs w:val="24"/>
        </w:rPr>
        <w:t xml:space="preserve"> </w:t>
      </w:r>
      <w:r w:rsidR="008E26F8" w:rsidRPr="00C02C71">
        <w:rPr>
          <w:rFonts w:ascii="Times New Roman" w:hAnsi="Times New Roman" w:cs="Times New Roman"/>
          <w:sz w:val="24"/>
          <w:szCs w:val="24"/>
        </w:rPr>
        <w:t>relational worldview as there is a perception that individuals, objects and the surrounding are connected. The resource is under the subject of indigenous perspectives across learning areas and the pedagogy ways expressed are reconstructing and deconstructing as well the production of innovative ideas through lateral thinking or combination of systems.</w:t>
      </w:r>
    </w:p>
    <w:p w14:paraId="74B5A5F3" w14:textId="77777777" w:rsidR="00C02C71" w:rsidRPr="00C02C71" w:rsidRDefault="00C02C71" w:rsidP="00C02C71">
      <w:pPr>
        <w:spacing w:after="0" w:line="480" w:lineRule="auto"/>
        <w:ind w:firstLine="720"/>
        <w:jc w:val="both"/>
        <w:rPr>
          <w:rFonts w:ascii="Times New Roman" w:hAnsi="Times New Roman" w:cs="Times New Roman"/>
          <w:sz w:val="24"/>
          <w:szCs w:val="24"/>
        </w:rPr>
      </w:pPr>
    </w:p>
    <w:p w14:paraId="33D8AE94" w14:textId="77777777" w:rsidR="00C02C71" w:rsidRDefault="00C02C71" w:rsidP="00C02C71">
      <w:pPr>
        <w:spacing w:after="0" w:line="480" w:lineRule="auto"/>
        <w:jc w:val="both"/>
        <w:rPr>
          <w:rFonts w:ascii="Times New Roman" w:hAnsi="Times New Roman" w:cs="Times New Roman"/>
          <w:sz w:val="24"/>
          <w:szCs w:val="24"/>
        </w:rPr>
      </w:pPr>
    </w:p>
    <w:p w14:paraId="258A6281" w14:textId="77777777" w:rsidR="00C02C71" w:rsidRDefault="00C02C71" w:rsidP="00C02C71">
      <w:pPr>
        <w:spacing w:after="0" w:line="480" w:lineRule="auto"/>
        <w:jc w:val="both"/>
        <w:rPr>
          <w:rFonts w:ascii="Times New Roman" w:hAnsi="Times New Roman" w:cs="Times New Roman"/>
          <w:sz w:val="24"/>
          <w:szCs w:val="24"/>
        </w:rPr>
      </w:pPr>
    </w:p>
    <w:p w14:paraId="41468396" w14:textId="1AAE233C" w:rsidR="000D024A"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lastRenderedPageBreak/>
        <w:t>Loban, H. (2011). Embedding Indigenous perspectives in business law. E-Journal of Business Education &amp; Scholarship of Teaching, 5(2), 11-21.</w:t>
      </w:r>
    </w:p>
    <w:p w14:paraId="237332D7" w14:textId="21A2133B" w:rsidR="00804D11" w:rsidRPr="00C02C71"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 xml:space="preserve">This scholarly peer-reviewed article explores the strategies of </w:t>
      </w:r>
      <w:r w:rsidR="0010255F" w:rsidRPr="00C02C71">
        <w:rPr>
          <w:rFonts w:ascii="Times New Roman" w:hAnsi="Times New Roman" w:cs="Times New Roman"/>
          <w:sz w:val="24"/>
          <w:szCs w:val="24"/>
        </w:rPr>
        <w:t>implanting</w:t>
      </w:r>
      <w:r w:rsidRPr="00C02C71">
        <w:rPr>
          <w:rFonts w:ascii="Times New Roman" w:hAnsi="Times New Roman" w:cs="Times New Roman"/>
          <w:sz w:val="24"/>
          <w:szCs w:val="24"/>
        </w:rPr>
        <w:t xml:space="preserve"> the Indigenous perspective</w:t>
      </w:r>
      <w:r w:rsidR="0010255F">
        <w:rPr>
          <w:rFonts w:ascii="Times New Roman" w:hAnsi="Times New Roman" w:cs="Times New Roman"/>
          <w:sz w:val="24"/>
          <w:szCs w:val="24"/>
          <w:lang w:val="en-US"/>
        </w:rPr>
        <w:t>s</w:t>
      </w:r>
      <w:r w:rsidRPr="00C02C71">
        <w:rPr>
          <w:rFonts w:ascii="Times New Roman" w:hAnsi="Times New Roman" w:cs="Times New Roman"/>
          <w:sz w:val="24"/>
          <w:szCs w:val="24"/>
        </w:rPr>
        <w:t xml:space="preserve"> in the school curriculum. It explores the creation of an environment in universities where Aboriginal and Torres Strait Islander individuals and campus community </w:t>
      </w:r>
      <w:r w:rsidR="0010255F" w:rsidRPr="00C02C71">
        <w:rPr>
          <w:rFonts w:ascii="Times New Roman" w:hAnsi="Times New Roman" w:cs="Times New Roman"/>
          <w:sz w:val="24"/>
          <w:szCs w:val="24"/>
        </w:rPr>
        <w:t>affiliates</w:t>
      </w:r>
      <w:r w:rsidRPr="00C02C71">
        <w:rPr>
          <w:rFonts w:ascii="Times New Roman" w:hAnsi="Times New Roman" w:cs="Times New Roman"/>
          <w:sz w:val="24"/>
          <w:szCs w:val="24"/>
        </w:rPr>
        <w:t xml:space="preserve"> study, work and live harmoniously with understanding and mutual respect. Besides, integrating the indigenous perspectives as well as the experiences across the curriculum in business law subject at both the bachelor's or master's levels. Finally, it is through recognition and valuation of the cultural diversity as an asset which enriches the university life. This resource can be utilized as a lens of indigenous relation worldview as it is based on traditional cultures ad there is a connection between the culture and human perspectives. This resource is under the subject of</w:t>
      </w:r>
      <w:r w:rsidR="0080360E" w:rsidRPr="00C02C71">
        <w:rPr>
          <w:rFonts w:ascii="Times New Roman" w:hAnsi="Times New Roman" w:cs="Times New Roman"/>
          <w:sz w:val="24"/>
          <w:szCs w:val="24"/>
        </w:rPr>
        <w:t xml:space="preserve"> indigenous perspectives across learning areas</w:t>
      </w:r>
      <w:r w:rsidRPr="00C02C71">
        <w:rPr>
          <w:rFonts w:ascii="Times New Roman" w:hAnsi="Times New Roman" w:cs="Times New Roman"/>
          <w:sz w:val="24"/>
          <w:szCs w:val="24"/>
        </w:rPr>
        <w:t xml:space="preserve"> and the pedagogy expressed entails constructing and deconstructing community links to applying the l</w:t>
      </w:r>
      <w:r w:rsidR="0080360E" w:rsidRPr="00C02C71">
        <w:rPr>
          <w:rFonts w:ascii="Times New Roman" w:hAnsi="Times New Roman" w:cs="Times New Roman"/>
          <w:sz w:val="24"/>
          <w:szCs w:val="24"/>
        </w:rPr>
        <w:t>earning for the community benefits</w:t>
      </w:r>
      <w:r w:rsidRPr="00C02C71">
        <w:rPr>
          <w:rFonts w:ascii="Times New Roman" w:hAnsi="Times New Roman" w:cs="Times New Roman"/>
          <w:sz w:val="24"/>
          <w:szCs w:val="24"/>
        </w:rPr>
        <w:t>, innovati</w:t>
      </w:r>
      <w:r w:rsidR="0080360E" w:rsidRPr="00C02C71">
        <w:rPr>
          <w:rFonts w:ascii="Times New Roman" w:hAnsi="Times New Roman" w:cs="Times New Roman"/>
          <w:sz w:val="24"/>
          <w:szCs w:val="24"/>
        </w:rPr>
        <w:t xml:space="preserve">on production and understanding through lateral conception </w:t>
      </w:r>
      <w:r w:rsidRPr="00C02C71">
        <w:rPr>
          <w:rFonts w:ascii="Times New Roman" w:hAnsi="Times New Roman" w:cs="Times New Roman"/>
          <w:sz w:val="24"/>
          <w:szCs w:val="24"/>
        </w:rPr>
        <w:t>and combination of systems for learning purposes.</w:t>
      </w:r>
    </w:p>
    <w:p w14:paraId="15B3DD64" w14:textId="77777777" w:rsidR="000D024A" w:rsidRPr="00C02C71" w:rsidRDefault="000D024A" w:rsidP="00C02C71">
      <w:pPr>
        <w:spacing w:after="0" w:line="480" w:lineRule="auto"/>
        <w:jc w:val="both"/>
        <w:rPr>
          <w:rFonts w:ascii="Times New Roman" w:hAnsi="Times New Roman" w:cs="Times New Roman"/>
          <w:sz w:val="24"/>
          <w:szCs w:val="24"/>
        </w:rPr>
      </w:pPr>
    </w:p>
    <w:p w14:paraId="2EAD42FB" w14:textId="30411308" w:rsidR="000D024A"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t>Louth, S., &amp; Jamieson-Proctor, R. (2014, July). Empowering teachers to embed Indigenous perspectives: A study of the effects of professional development in traditional Indigenous games. In Proceedings of the Australian Teacher Education Association Annual Conference (ATEA 2014) (pp. 155-172). Australian Catholic University.</w:t>
      </w:r>
    </w:p>
    <w:p w14:paraId="71E861C2" w14:textId="50F4DD66" w:rsidR="000D024A" w:rsidRPr="00C02C71"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 xml:space="preserve">This research article explores the </w:t>
      </w:r>
      <w:r w:rsidR="0010255F" w:rsidRPr="00C02C71">
        <w:rPr>
          <w:rFonts w:ascii="Times New Roman" w:hAnsi="Times New Roman" w:cs="Times New Roman"/>
          <w:sz w:val="24"/>
          <w:szCs w:val="24"/>
        </w:rPr>
        <w:t>necessity</w:t>
      </w:r>
      <w:r w:rsidRPr="00C02C71">
        <w:rPr>
          <w:rFonts w:ascii="Times New Roman" w:hAnsi="Times New Roman" w:cs="Times New Roman"/>
          <w:sz w:val="24"/>
          <w:szCs w:val="24"/>
        </w:rPr>
        <w:t xml:space="preserve"> to </w:t>
      </w:r>
      <w:r w:rsidR="0010255F" w:rsidRPr="00C02C71">
        <w:rPr>
          <w:rFonts w:ascii="Times New Roman" w:hAnsi="Times New Roman" w:cs="Times New Roman"/>
          <w:sz w:val="24"/>
          <w:szCs w:val="24"/>
        </w:rPr>
        <w:t>entrench</w:t>
      </w:r>
      <w:r w:rsidRPr="00C02C71">
        <w:rPr>
          <w:rFonts w:ascii="Times New Roman" w:hAnsi="Times New Roman" w:cs="Times New Roman"/>
          <w:sz w:val="24"/>
          <w:szCs w:val="24"/>
        </w:rPr>
        <w:t xml:space="preserve"> the Indigenous </w:t>
      </w:r>
      <w:r w:rsidR="0010255F" w:rsidRPr="00C02C71">
        <w:rPr>
          <w:rFonts w:ascii="Times New Roman" w:hAnsi="Times New Roman" w:cs="Times New Roman"/>
          <w:sz w:val="24"/>
          <w:szCs w:val="24"/>
        </w:rPr>
        <w:t>perceptions</w:t>
      </w:r>
      <w:r w:rsidRPr="00C02C71">
        <w:rPr>
          <w:rFonts w:ascii="Times New Roman" w:hAnsi="Times New Roman" w:cs="Times New Roman"/>
          <w:sz w:val="24"/>
          <w:szCs w:val="24"/>
        </w:rPr>
        <w:t xml:space="preserve"> in the school curriculum in Australian. The practicalities in the deployment of this strategy in school should be explored via the teachers shouldering the </w:t>
      </w:r>
      <w:r w:rsidR="0010255F" w:rsidRPr="00C02C71">
        <w:rPr>
          <w:rFonts w:ascii="Times New Roman" w:hAnsi="Times New Roman" w:cs="Times New Roman"/>
          <w:sz w:val="24"/>
          <w:szCs w:val="24"/>
        </w:rPr>
        <w:t>obligation</w:t>
      </w:r>
      <w:r w:rsidRPr="00C02C71">
        <w:rPr>
          <w:rFonts w:ascii="Times New Roman" w:hAnsi="Times New Roman" w:cs="Times New Roman"/>
          <w:sz w:val="24"/>
          <w:szCs w:val="24"/>
        </w:rPr>
        <w:t xml:space="preserve"> in planning and implementing the opportunities for the children to grasp and </w:t>
      </w:r>
      <w:r w:rsidR="0010255F" w:rsidRPr="00C02C71">
        <w:rPr>
          <w:rFonts w:ascii="Times New Roman" w:hAnsi="Times New Roman" w:cs="Times New Roman"/>
          <w:sz w:val="24"/>
          <w:szCs w:val="24"/>
        </w:rPr>
        <w:t>study</w:t>
      </w:r>
      <w:r w:rsidRPr="00C02C71">
        <w:rPr>
          <w:rFonts w:ascii="Times New Roman" w:hAnsi="Times New Roman" w:cs="Times New Roman"/>
          <w:sz w:val="24"/>
          <w:szCs w:val="24"/>
        </w:rPr>
        <w:t xml:space="preserve"> about the Indigenous perspectives via the curriculum. The research explores on the evaluation of the traditional </w:t>
      </w:r>
      <w:r w:rsidRPr="00C02C71">
        <w:rPr>
          <w:rFonts w:ascii="Times New Roman" w:hAnsi="Times New Roman" w:cs="Times New Roman"/>
          <w:sz w:val="24"/>
          <w:szCs w:val="24"/>
        </w:rPr>
        <w:lastRenderedPageBreak/>
        <w:t xml:space="preserve">indigenous games in assisting the professional teachers in embedding the </w:t>
      </w:r>
      <w:r w:rsidR="0010255F" w:rsidRPr="00C02C71">
        <w:rPr>
          <w:rFonts w:ascii="Times New Roman" w:hAnsi="Times New Roman" w:cs="Times New Roman"/>
          <w:sz w:val="24"/>
          <w:szCs w:val="24"/>
        </w:rPr>
        <w:t>native</w:t>
      </w:r>
      <w:r w:rsidRPr="00C02C71">
        <w:rPr>
          <w:rFonts w:ascii="Times New Roman" w:hAnsi="Times New Roman" w:cs="Times New Roman"/>
          <w:sz w:val="24"/>
          <w:szCs w:val="24"/>
        </w:rPr>
        <w:t xml:space="preserve"> </w:t>
      </w:r>
      <w:r w:rsidR="0010255F" w:rsidRPr="00C02C71">
        <w:rPr>
          <w:rFonts w:ascii="Times New Roman" w:hAnsi="Times New Roman" w:cs="Times New Roman"/>
          <w:sz w:val="24"/>
          <w:szCs w:val="24"/>
        </w:rPr>
        <w:t>perceptions</w:t>
      </w:r>
      <w:r w:rsidRPr="00C02C71">
        <w:rPr>
          <w:rFonts w:ascii="Times New Roman" w:hAnsi="Times New Roman" w:cs="Times New Roman"/>
          <w:sz w:val="24"/>
          <w:szCs w:val="24"/>
        </w:rPr>
        <w:t xml:space="preserve"> in the </w:t>
      </w:r>
      <w:r w:rsidR="0010255F" w:rsidRPr="00C02C71">
        <w:rPr>
          <w:rFonts w:ascii="Times New Roman" w:hAnsi="Times New Roman" w:cs="Times New Roman"/>
          <w:sz w:val="24"/>
          <w:szCs w:val="24"/>
        </w:rPr>
        <w:t>syllabus</w:t>
      </w:r>
      <w:r w:rsidRPr="00C02C71">
        <w:rPr>
          <w:rFonts w:ascii="Times New Roman" w:hAnsi="Times New Roman" w:cs="Times New Roman"/>
          <w:sz w:val="24"/>
          <w:szCs w:val="24"/>
        </w:rPr>
        <w:t xml:space="preserve">. This resource is useful as it impacted the teachers, the pedagogical approaches and the classroom settings. It can be used as a lens of </w:t>
      </w:r>
      <w:r w:rsidR="00DE2497" w:rsidRPr="00C02C71">
        <w:rPr>
          <w:rFonts w:ascii="Times New Roman" w:hAnsi="Times New Roman" w:cs="Times New Roman"/>
          <w:sz w:val="24"/>
          <w:szCs w:val="24"/>
        </w:rPr>
        <w:t>Indigenous</w:t>
      </w:r>
      <w:r w:rsidRPr="00C02C71">
        <w:rPr>
          <w:rFonts w:ascii="Times New Roman" w:hAnsi="Times New Roman" w:cs="Times New Roman"/>
          <w:sz w:val="24"/>
          <w:szCs w:val="24"/>
        </w:rPr>
        <w:t xml:space="preserve"> relational worldview as it is founded in traditional cultures and the creation of balance and harmony among the multiple variables is vital in creating a thought system. This resource is under the subject of </w:t>
      </w:r>
      <w:r w:rsidR="0010255F" w:rsidRPr="00C02C71">
        <w:rPr>
          <w:rFonts w:ascii="Times New Roman" w:hAnsi="Times New Roman" w:cs="Times New Roman"/>
          <w:sz w:val="24"/>
          <w:szCs w:val="24"/>
        </w:rPr>
        <w:t>olden times</w:t>
      </w:r>
      <w:r w:rsidR="00DE2497" w:rsidRPr="00C02C71">
        <w:rPr>
          <w:rFonts w:ascii="Times New Roman" w:hAnsi="Times New Roman" w:cs="Times New Roman"/>
          <w:sz w:val="24"/>
          <w:szCs w:val="24"/>
        </w:rPr>
        <w:t xml:space="preserve"> and cultures </w:t>
      </w:r>
      <w:r w:rsidRPr="00C02C71">
        <w:rPr>
          <w:rFonts w:ascii="Times New Roman" w:hAnsi="Times New Roman" w:cs="Times New Roman"/>
          <w:sz w:val="24"/>
          <w:szCs w:val="24"/>
        </w:rPr>
        <w:t xml:space="preserve">in the Australian </w:t>
      </w:r>
      <w:r w:rsidR="0010255F" w:rsidRPr="00C02C71">
        <w:rPr>
          <w:rFonts w:ascii="Times New Roman" w:hAnsi="Times New Roman" w:cs="Times New Roman"/>
          <w:sz w:val="24"/>
          <w:szCs w:val="24"/>
        </w:rPr>
        <w:t>prospectus</w:t>
      </w:r>
      <w:r w:rsidRPr="00C02C71">
        <w:rPr>
          <w:rFonts w:ascii="Times New Roman" w:hAnsi="Times New Roman" w:cs="Times New Roman"/>
          <w:sz w:val="24"/>
          <w:szCs w:val="24"/>
        </w:rPr>
        <w:t xml:space="preserve"> a</w:t>
      </w:r>
      <w:r w:rsidR="00DE2497" w:rsidRPr="00C02C71">
        <w:rPr>
          <w:rFonts w:ascii="Times New Roman" w:hAnsi="Times New Roman" w:cs="Times New Roman"/>
          <w:sz w:val="24"/>
          <w:szCs w:val="24"/>
        </w:rPr>
        <w:t>n</w:t>
      </w:r>
      <w:r w:rsidRPr="00C02C71">
        <w:rPr>
          <w:rFonts w:ascii="Times New Roman" w:hAnsi="Times New Roman" w:cs="Times New Roman"/>
          <w:sz w:val="24"/>
          <w:szCs w:val="24"/>
        </w:rPr>
        <w:t xml:space="preserve">d the pedagogy expressed is through </w:t>
      </w:r>
      <w:r w:rsidR="00DE2497" w:rsidRPr="00C02C71">
        <w:rPr>
          <w:rFonts w:ascii="Times New Roman" w:hAnsi="Times New Roman" w:cs="Times New Roman"/>
          <w:sz w:val="24"/>
          <w:szCs w:val="24"/>
        </w:rPr>
        <w:t>constructing</w:t>
      </w:r>
      <w:r w:rsidRPr="00C02C71">
        <w:rPr>
          <w:rFonts w:ascii="Times New Roman" w:hAnsi="Times New Roman" w:cs="Times New Roman"/>
          <w:sz w:val="24"/>
          <w:szCs w:val="24"/>
        </w:rPr>
        <w:t xml:space="preserve"> and deconstructing</w:t>
      </w:r>
      <w:r w:rsidR="00DE2497" w:rsidRPr="00C02C71">
        <w:rPr>
          <w:rFonts w:ascii="Times New Roman" w:hAnsi="Times New Roman" w:cs="Times New Roman"/>
          <w:sz w:val="24"/>
          <w:szCs w:val="24"/>
        </w:rPr>
        <w:t xml:space="preserve"> and community links.</w:t>
      </w:r>
    </w:p>
    <w:p w14:paraId="33A6D282" w14:textId="77777777" w:rsidR="00C02C71" w:rsidRDefault="00C02C71" w:rsidP="00C02C71">
      <w:pPr>
        <w:spacing w:after="0" w:line="480" w:lineRule="auto"/>
        <w:jc w:val="both"/>
        <w:rPr>
          <w:rFonts w:ascii="Times New Roman" w:hAnsi="Times New Roman" w:cs="Times New Roman"/>
          <w:sz w:val="24"/>
          <w:szCs w:val="24"/>
          <w:lang w:val="en-US"/>
        </w:rPr>
      </w:pPr>
    </w:p>
    <w:p w14:paraId="5EDEBDFD" w14:textId="6F15D55A" w:rsidR="001E2BE5"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t>Nakata, M. (2011). Pathways for Indigenous Education in the Australian Curriculum Framework. The Australian Journal Of Indigenous Education, 40, 1-8. doi: 10.1375/ajie.40.1</w:t>
      </w:r>
    </w:p>
    <w:p w14:paraId="222B74C5" w14:textId="4CCC217F" w:rsidR="001E2BE5" w:rsidRPr="00C02C71"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 xml:space="preserve">This scholarly article focuses on deepening our comprehension of the possibilities and </w:t>
      </w:r>
      <w:r w:rsidR="0010255F" w:rsidRPr="00C02C71">
        <w:rPr>
          <w:rFonts w:ascii="Times New Roman" w:hAnsi="Times New Roman" w:cs="Times New Roman"/>
          <w:sz w:val="24"/>
          <w:szCs w:val="24"/>
        </w:rPr>
        <w:t>intricacies</w:t>
      </w:r>
      <w:r w:rsidRPr="00C02C71">
        <w:rPr>
          <w:rFonts w:ascii="Times New Roman" w:hAnsi="Times New Roman" w:cs="Times New Roman"/>
          <w:sz w:val="24"/>
          <w:szCs w:val="24"/>
        </w:rPr>
        <w:t xml:space="preserve"> of embedding indigenous knowledge in the formal education environment. An individual will be able to understand be able to engage with a political understanding of the vital aspect of society. Community workshops are vital platforms </w:t>
      </w:r>
      <w:r w:rsidR="0010255F">
        <w:rPr>
          <w:rFonts w:ascii="Times New Roman" w:hAnsi="Times New Roman" w:cs="Times New Roman"/>
          <w:sz w:val="24"/>
          <w:szCs w:val="24"/>
          <w:lang w:val="en-US"/>
        </w:rPr>
        <w:t>in teaching</w:t>
      </w:r>
      <w:r w:rsidRPr="00C02C71">
        <w:rPr>
          <w:rFonts w:ascii="Times New Roman" w:hAnsi="Times New Roman" w:cs="Times New Roman"/>
          <w:sz w:val="24"/>
          <w:szCs w:val="24"/>
        </w:rPr>
        <w:t xml:space="preserve"> the society on the importance of </w:t>
      </w:r>
      <w:r w:rsidR="0010255F" w:rsidRPr="00C02C71">
        <w:rPr>
          <w:rFonts w:ascii="Times New Roman" w:hAnsi="Times New Roman" w:cs="Times New Roman"/>
          <w:sz w:val="24"/>
          <w:szCs w:val="24"/>
        </w:rPr>
        <w:t>implanting</w:t>
      </w:r>
      <w:r w:rsidRPr="00C02C71">
        <w:rPr>
          <w:rFonts w:ascii="Times New Roman" w:hAnsi="Times New Roman" w:cs="Times New Roman"/>
          <w:sz w:val="24"/>
          <w:szCs w:val="24"/>
        </w:rPr>
        <w:t xml:space="preserve"> </w:t>
      </w:r>
      <w:r w:rsidR="0010255F">
        <w:rPr>
          <w:rFonts w:ascii="Times New Roman" w:hAnsi="Times New Roman" w:cs="Times New Roman"/>
          <w:sz w:val="24"/>
          <w:szCs w:val="24"/>
          <w:lang w:val="en-US"/>
        </w:rPr>
        <w:t>indigenous viewpoints</w:t>
      </w:r>
      <w:r w:rsidRPr="00C02C71">
        <w:rPr>
          <w:rFonts w:ascii="Times New Roman" w:hAnsi="Times New Roman" w:cs="Times New Roman"/>
          <w:sz w:val="24"/>
          <w:szCs w:val="24"/>
        </w:rPr>
        <w:t xml:space="preserve"> </w:t>
      </w:r>
      <w:r w:rsidR="0010255F">
        <w:rPr>
          <w:rFonts w:ascii="Times New Roman" w:hAnsi="Times New Roman" w:cs="Times New Roman"/>
          <w:sz w:val="24"/>
          <w:szCs w:val="24"/>
          <w:lang w:val="en-US"/>
        </w:rPr>
        <w:t>in the</w:t>
      </w:r>
      <w:r w:rsidRPr="00C02C71">
        <w:rPr>
          <w:rFonts w:ascii="Times New Roman" w:hAnsi="Times New Roman" w:cs="Times New Roman"/>
          <w:sz w:val="24"/>
          <w:szCs w:val="24"/>
        </w:rPr>
        <w:t xml:space="preserve"> educational system. The resource is critical in understanding and provision of a strong identity to the Australian people. The resource can be used for a worldwide relational view as its roots are based on tribal cultures. The societal aspects are related, meaning that everything and every individual have relations. The mainstream subject that is addressed by this resource is on indigenous perspectives across learning areas. The pedagogical ways that are addressed using this resource are community links, which entails applying learning for the benefits of the community. Besides, it also encompasses land links, where learning is based on places, as well as relating the knowledge to the local locations.</w:t>
      </w:r>
    </w:p>
    <w:p w14:paraId="5348D5F2" w14:textId="2C449409" w:rsidR="001E2BE5" w:rsidRPr="00C02C71" w:rsidRDefault="001E2BE5" w:rsidP="00C02C71">
      <w:pPr>
        <w:spacing w:after="0" w:line="480" w:lineRule="auto"/>
        <w:jc w:val="both"/>
        <w:rPr>
          <w:rFonts w:ascii="Times New Roman" w:hAnsi="Times New Roman" w:cs="Times New Roman"/>
          <w:sz w:val="24"/>
          <w:szCs w:val="24"/>
        </w:rPr>
      </w:pPr>
    </w:p>
    <w:p w14:paraId="75049DF2" w14:textId="1E5C00A0" w:rsidR="00081848" w:rsidRPr="00C02C71" w:rsidRDefault="00080FFB" w:rsidP="00C02C71">
      <w:pPr>
        <w:spacing w:after="0" w:line="480" w:lineRule="auto"/>
        <w:jc w:val="both"/>
        <w:rPr>
          <w:rFonts w:ascii="Times New Roman" w:hAnsi="Times New Roman" w:cs="Times New Roman"/>
          <w:sz w:val="24"/>
          <w:szCs w:val="24"/>
        </w:rPr>
      </w:pPr>
      <w:r w:rsidRPr="00C02C71">
        <w:rPr>
          <w:rFonts w:ascii="Times New Roman" w:hAnsi="Times New Roman" w:cs="Times New Roman"/>
          <w:sz w:val="24"/>
          <w:szCs w:val="24"/>
        </w:rPr>
        <w:lastRenderedPageBreak/>
        <w:t>Williamson, J., &amp; Dalal, P. (2007). Indigenising the Curriculum or Negotiating the Tensions at the Cultural Interface? Embedding Indigenous Perspectives and Pedagogies in a University Curriculum. The Australian Journal Of Indigenous Education, 36(S1), 51-58. doi: 10.1017/s1326011100004701</w:t>
      </w:r>
    </w:p>
    <w:p w14:paraId="4A90BE76" w14:textId="5DD9775D" w:rsidR="008E26F8" w:rsidRPr="00C02C71" w:rsidRDefault="00080FFB" w:rsidP="00C02C71">
      <w:pPr>
        <w:spacing w:after="0" w:line="480" w:lineRule="auto"/>
        <w:ind w:firstLine="720"/>
        <w:jc w:val="both"/>
        <w:rPr>
          <w:rFonts w:ascii="Times New Roman" w:hAnsi="Times New Roman" w:cs="Times New Roman"/>
          <w:sz w:val="24"/>
          <w:szCs w:val="24"/>
        </w:rPr>
      </w:pPr>
      <w:r w:rsidRPr="00C02C71">
        <w:rPr>
          <w:rFonts w:ascii="Times New Roman" w:hAnsi="Times New Roman" w:cs="Times New Roman"/>
          <w:sz w:val="24"/>
          <w:szCs w:val="24"/>
        </w:rPr>
        <w:t xml:space="preserve">This </w:t>
      </w:r>
      <w:r w:rsidR="003B4B0C" w:rsidRPr="00C02C71">
        <w:rPr>
          <w:rFonts w:ascii="Times New Roman" w:hAnsi="Times New Roman" w:cs="Times New Roman"/>
          <w:sz w:val="24"/>
          <w:szCs w:val="24"/>
        </w:rPr>
        <w:t xml:space="preserve">scholarly resource article explores on embedding the Indigenous Perspectives in both Human services as well as Humanities in the University curriculum. It outlines the framework of the curriculum whose development to guide the redesign of the curriculum in the initial phases. The approaches deployed acknowledges numerous levels of engagement past the intellectual. This requires </w:t>
      </w:r>
      <w:r w:rsidR="0010255F">
        <w:rPr>
          <w:rFonts w:ascii="Times New Roman" w:hAnsi="Times New Roman" w:cs="Times New Roman"/>
          <w:sz w:val="24"/>
          <w:szCs w:val="24"/>
          <w:lang w:val="en-US"/>
        </w:rPr>
        <w:t>recognition</w:t>
      </w:r>
      <w:r w:rsidR="003B4B0C" w:rsidRPr="00C02C71">
        <w:rPr>
          <w:rFonts w:ascii="Times New Roman" w:hAnsi="Times New Roman" w:cs="Times New Roman"/>
          <w:sz w:val="24"/>
          <w:szCs w:val="24"/>
        </w:rPr>
        <w:t xml:space="preserve"> of Indigenous positions or positioning and it necessitates critical self-reflection. This resource is important as it probable to identify numerous pedagogical approaches that are helpful in the processes. This resource can be used as a lens for the Indigenous relational view as it encompasses the tribal cultures, entails balancing and harmonizing the relations between numerous variables, which makes up the primary thought system. This resource is under the </w:t>
      </w:r>
      <w:r w:rsidR="00050C1E" w:rsidRPr="00C02C71">
        <w:rPr>
          <w:rFonts w:ascii="Times New Roman" w:hAnsi="Times New Roman" w:cs="Times New Roman"/>
          <w:sz w:val="24"/>
          <w:szCs w:val="24"/>
        </w:rPr>
        <w:t>subject of world view, indigenous perspectives across learning areas and histories and cultures. The pedagogy ways depicted include constructing and deconstructing, community links, production of innovations and understanding through lateral conception and combination of systems.</w:t>
      </w:r>
    </w:p>
    <w:p w14:paraId="4BB4A4A7" w14:textId="77777777" w:rsidR="00546152" w:rsidRPr="00C02C71" w:rsidRDefault="00546152" w:rsidP="00C02C71">
      <w:pPr>
        <w:spacing w:after="0" w:line="480" w:lineRule="auto"/>
        <w:jc w:val="both"/>
        <w:rPr>
          <w:rFonts w:ascii="Times New Roman" w:hAnsi="Times New Roman" w:cs="Times New Roman"/>
          <w:sz w:val="24"/>
          <w:szCs w:val="24"/>
        </w:rPr>
      </w:pPr>
    </w:p>
    <w:p w14:paraId="485B1FC1" w14:textId="77777777" w:rsidR="00E90180" w:rsidRPr="00C02C71" w:rsidRDefault="00E90180" w:rsidP="00C02C71">
      <w:pPr>
        <w:spacing w:after="0" w:line="480" w:lineRule="auto"/>
        <w:jc w:val="both"/>
        <w:rPr>
          <w:rFonts w:ascii="Times New Roman" w:hAnsi="Times New Roman" w:cs="Times New Roman"/>
          <w:sz w:val="24"/>
          <w:szCs w:val="24"/>
        </w:rPr>
      </w:pPr>
    </w:p>
    <w:sectPr w:rsidR="00E90180" w:rsidRPr="00C02C71" w:rsidSect="00C02C7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2D8E61" w14:textId="77777777" w:rsidR="006F56FC" w:rsidRDefault="006F56FC" w:rsidP="00C02C71">
      <w:pPr>
        <w:spacing w:after="0" w:line="240" w:lineRule="auto"/>
      </w:pPr>
      <w:r>
        <w:separator/>
      </w:r>
    </w:p>
  </w:endnote>
  <w:endnote w:type="continuationSeparator" w:id="0">
    <w:p w14:paraId="54661964" w14:textId="77777777" w:rsidR="006F56FC" w:rsidRDefault="006F56FC" w:rsidP="00C0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41206" w14:textId="77777777" w:rsidR="006F56FC" w:rsidRDefault="006F56FC" w:rsidP="00C02C71">
      <w:pPr>
        <w:spacing w:after="0" w:line="240" w:lineRule="auto"/>
      </w:pPr>
      <w:r>
        <w:separator/>
      </w:r>
    </w:p>
  </w:footnote>
  <w:footnote w:type="continuationSeparator" w:id="0">
    <w:p w14:paraId="688DE25C" w14:textId="77777777" w:rsidR="006F56FC" w:rsidRDefault="006F56FC" w:rsidP="00C02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ADB13" w14:textId="009CDC1D" w:rsidR="00C02C71" w:rsidRPr="00C02C71" w:rsidRDefault="00C02C71">
    <w:pPr>
      <w:pStyle w:val="Header"/>
      <w:jc w:val="right"/>
      <w:rPr>
        <w:rFonts w:ascii="Times New Roman" w:hAnsi="Times New Roman" w:cs="Times New Roman"/>
        <w:sz w:val="24"/>
        <w:szCs w:val="24"/>
      </w:rPr>
    </w:pPr>
    <w:r w:rsidRPr="00C02C71">
      <w:rPr>
        <w:rFonts w:ascii="Times New Roman" w:hAnsi="Times New Roman" w:cs="Times New Roman"/>
        <w:sz w:val="24"/>
        <w:szCs w:val="24"/>
        <w:lang w:val="en-US"/>
      </w:rPr>
      <w:t>EMBEDDING INDIGENOUS PERSPECTIVES</w:t>
    </w:r>
    <w:r w:rsidRPr="00C02C71">
      <w:rPr>
        <w:rFonts w:ascii="Times New Roman" w:hAnsi="Times New Roman" w:cs="Times New Roman"/>
        <w:sz w:val="24"/>
        <w:szCs w:val="24"/>
        <w:lang w:val="en-US"/>
      </w:rPr>
      <w:tab/>
    </w:r>
    <w:sdt>
      <w:sdtPr>
        <w:rPr>
          <w:rFonts w:ascii="Times New Roman" w:hAnsi="Times New Roman" w:cs="Times New Roman"/>
          <w:sz w:val="24"/>
          <w:szCs w:val="24"/>
        </w:rPr>
        <w:id w:val="588206754"/>
        <w:docPartObj>
          <w:docPartGallery w:val="Page Numbers (Top of Page)"/>
          <w:docPartUnique/>
        </w:docPartObj>
      </w:sdtPr>
      <w:sdtEndPr>
        <w:rPr>
          <w:noProof/>
        </w:rPr>
      </w:sdtEndPr>
      <w:sdtContent>
        <w:r w:rsidRPr="00C02C71">
          <w:rPr>
            <w:rFonts w:ascii="Times New Roman" w:hAnsi="Times New Roman" w:cs="Times New Roman"/>
            <w:sz w:val="24"/>
            <w:szCs w:val="24"/>
          </w:rPr>
          <w:fldChar w:fldCharType="begin"/>
        </w:r>
        <w:r w:rsidRPr="00C02C71">
          <w:rPr>
            <w:rFonts w:ascii="Times New Roman" w:hAnsi="Times New Roman" w:cs="Times New Roman"/>
            <w:sz w:val="24"/>
            <w:szCs w:val="24"/>
          </w:rPr>
          <w:instrText xml:space="preserve"> PAGE   \* MERGEFORMAT </w:instrText>
        </w:r>
        <w:r w:rsidRPr="00C02C71">
          <w:rPr>
            <w:rFonts w:ascii="Times New Roman" w:hAnsi="Times New Roman" w:cs="Times New Roman"/>
            <w:sz w:val="24"/>
            <w:szCs w:val="24"/>
          </w:rPr>
          <w:fldChar w:fldCharType="separate"/>
        </w:r>
        <w:r w:rsidR="00E95A34">
          <w:rPr>
            <w:rFonts w:ascii="Times New Roman" w:hAnsi="Times New Roman" w:cs="Times New Roman"/>
            <w:noProof/>
            <w:sz w:val="24"/>
            <w:szCs w:val="24"/>
          </w:rPr>
          <w:t>3</w:t>
        </w:r>
        <w:r w:rsidRPr="00C02C71">
          <w:rPr>
            <w:rFonts w:ascii="Times New Roman" w:hAnsi="Times New Roman" w:cs="Times New Roman"/>
            <w:noProof/>
            <w:sz w:val="24"/>
            <w:szCs w:val="24"/>
          </w:rPr>
          <w:fldChar w:fldCharType="end"/>
        </w:r>
      </w:sdtContent>
    </w:sdt>
  </w:p>
  <w:p w14:paraId="40601C12" w14:textId="77777777" w:rsidR="00C02C71" w:rsidRPr="00C02C71" w:rsidRDefault="00C02C7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73475" w14:textId="4D208A92" w:rsidR="00C02C71" w:rsidRPr="00C02C71" w:rsidRDefault="00C02C71" w:rsidP="00C02C71">
    <w:pPr>
      <w:pStyle w:val="Header"/>
      <w:jc w:val="right"/>
      <w:rPr>
        <w:rFonts w:ascii="Times New Roman" w:hAnsi="Times New Roman" w:cs="Times New Roman"/>
        <w:sz w:val="24"/>
        <w:szCs w:val="24"/>
      </w:rPr>
    </w:pPr>
    <w:r w:rsidRPr="00C02C71">
      <w:rPr>
        <w:rFonts w:ascii="Times New Roman" w:hAnsi="Times New Roman" w:cs="Times New Roman"/>
        <w:sz w:val="24"/>
        <w:szCs w:val="24"/>
        <w:lang w:val="en-US"/>
      </w:rPr>
      <w:t>Running head: EMBEDDING INDIGENOUS PERSPECTIVES</w:t>
    </w:r>
    <w:r w:rsidRPr="00C02C71">
      <w:rPr>
        <w:rFonts w:ascii="Times New Roman" w:hAnsi="Times New Roman" w:cs="Times New Roman"/>
        <w:sz w:val="24"/>
        <w:szCs w:val="24"/>
        <w:lang w:val="en-US"/>
      </w:rPr>
      <w:tab/>
    </w:r>
    <w:sdt>
      <w:sdtPr>
        <w:rPr>
          <w:rFonts w:ascii="Times New Roman" w:hAnsi="Times New Roman" w:cs="Times New Roman"/>
          <w:sz w:val="24"/>
          <w:szCs w:val="24"/>
        </w:rPr>
        <w:id w:val="762420529"/>
        <w:docPartObj>
          <w:docPartGallery w:val="Page Numbers (Top of Page)"/>
          <w:docPartUnique/>
        </w:docPartObj>
      </w:sdtPr>
      <w:sdtEndPr>
        <w:rPr>
          <w:noProof/>
        </w:rPr>
      </w:sdtEndPr>
      <w:sdtContent>
        <w:r w:rsidRPr="00C02C71">
          <w:rPr>
            <w:rFonts w:ascii="Times New Roman" w:hAnsi="Times New Roman" w:cs="Times New Roman"/>
            <w:sz w:val="24"/>
            <w:szCs w:val="24"/>
          </w:rPr>
          <w:fldChar w:fldCharType="begin"/>
        </w:r>
        <w:r w:rsidRPr="00C02C71">
          <w:rPr>
            <w:rFonts w:ascii="Times New Roman" w:hAnsi="Times New Roman" w:cs="Times New Roman"/>
            <w:sz w:val="24"/>
            <w:szCs w:val="24"/>
          </w:rPr>
          <w:instrText xml:space="preserve"> PAGE   \* MERGEFORMAT </w:instrText>
        </w:r>
        <w:r w:rsidRPr="00C02C71">
          <w:rPr>
            <w:rFonts w:ascii="Times New Roman" w:hAnsi="Times New Roman" w:cs="Times New Roman"/>
            <w:sz w:val="24"/>
            <w:szCs w:val="24"/>
          </w:rPr>
          <w:fldChar w:fldCharType="separate"/>
        </w:r>
        <w:r w:rsidR="00E95A34">
          <w:rPr>
            <w:rFonts w:ascii="Times New Roman" w:hAnsi="Times New Roman" w:cs="Times New Roman"/>
            <w:noProof/>
            <w:sz w:val="24"/>
            <w:szCs w:val="24"/>
          </w:rPr>
          <w:t>1</w:t>
        </w:r>
        <w:r w:rsidRPr="00C02C71">
          <w:rPr>
            <w:rFonts w:ascii="Times New Roman" w:hAnsi="Times New Roman" w:cs="Times New Roman"/>
            <w:noProof/>
            <w:sz w:val="24"/>
            <w:szCs w:val="24"/>
          </w:rPr>
          <w:fldChar w:fldCharType="end"/>
        </w:r>
      </w:sdtContent>
    </w:sdt>
  </w:p>
  <w:p w14:paraId="3CD83F94" w14:textId="11FA19B7" w:rsidR="00C02C71" w:rsidRPr="00C02C71" w:rsidRDefault="00C02C71">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558"/>
    <w:rsid w:val="000105BB"/>
    <w:rsid w:val="00050C1E"/>
    <w:rsid w:val="00080FFB"/>
    <w:rsid w:val="00081848"/>
    <w:rsid w:val="00095558"/>
    <w:rsid w:val="000D024A"/>
    <w:rsid w:val="0010255F"/>
    <w:rsid w:val="001E2BE5"/>
    <w:rsid w:val="00292E1E"/>
    <w:rsid w:val="00314885"/>
    <w:rsid w:val="00343003"/>
    <w:rsid w:val="003B4B0C"/>
    <w:rsid w:val="00546152"/>
    <w:rsid w:val="005B0A2F"/>
    <w:rsid w:val="006B4DCC"/>
    <w:rsid w:val="006F477C"/>
    <w:rsid w:val="006F56FC"/>
    <w:rsid w:val="00750595"/>
    <w:rsid w:val="0080360E"/>
    <w:rsid w:val="00804D11"/>
    <w:rsid w:val="008630BD"/>
    <w:rsid w:val="008E26F8"/>
    <w:rsid w:val="00B07AAB"/>
    <w:rsid w:val="00C02C71"/>
    <w:rsid w:val="00C21BFF"/>
    <w:rsid w:val="00D540BC"/>
    <w:rsid w:val="00DA3151"/>
    <w:rsid w:val="00DE2497"/>
    <w:rsid w:val="00E90180"/>
    <w:rsid w:val="00E95A34"/>
    <w:rsid w:val="00F408B2"/>
    <w:rsid w:val="00F867C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832FF"/>
  <w15:chartTrackingRefBased/>
  <w15:docId w15:val="{79347931-B322-4890-B150-B020587F0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C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C71"/>
  </w:style>
  <w:style w:type="paragraph" w:styleId="Footer">
    <w:name w:val="footer"/>
    <w:basedOn w:val="Normal"/>
    <w:link w:val="FooterChar"/>
    <w:uiPriority w:val="99"/>
    <w:unhideWhenUsed/>
    <w:rsid w:val="00C02C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1975</Words>
  <Characters>11258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user</cp:lastModifiedBy>
  <cp:revision>2</cp:revision>
  <dcterms:created xsi:type="dcterms:W3CDTF">2020-03-26T02:53:00Z</dcterms:created>
  <dcterms:modified xsi:type="dcterms:W3CDTF">2020-03-26T02:53:00Z</dcterms:modified>
</cp:coreProperties>
</file>